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drawing>
          <wp:inline distT="0" distB="0" distL="114300" distR="114300">
            <wp:extent cx="5272405" cy="5011420"/>
            <wp:effectExtent l="0" t="0" r="4445" b="17780"/>
            <wp:docPr id="3" name="图片 3" descr="QSCZ91MXBKS2G9774LL6~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QSCZ91MXBKS2G9774LL6~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011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Arial" w:hAnsi="Arial" w:cs="Arial" w:eastAsiaTheme="minorEastAsia"/>
          <w:b w:val="0"/>
          <w:bCs w:val="0"/>
          <w:sz w:val="26"/>
          <w:szCs w:val="26"/>
          <w:lang w:eastAsia="zh-CN"/>
        </w:rPr>
      </w:pPr>
      <w:bookmarkStart w:id="0" w:name="_GoBack"/>
      <w:r>
        <w:rPr>
          <w:rFonts w:hint="eastAsia" w:ascii="Arial" w:hAnsi="Arial" w:cs="Arial" w:eastAsiaTheme="minorEastAsia"/>
          <w:b w:val="0"/>
          <w:bCs w:val="0"/>
          <w:sz w:val="26"/>
          <w:szCs w:val="26"/>
          <w:lang w:eastAsia="zh-CN"/>
        </w:rPr>
        <w:drawing>
          <wp:inline distT="0" distB="0" distL="114300" distR="114300">
            <wp:extent cx="5250180" cy="4916170"/>
            <wp:effectExtent l="0" t="0" r="7620" b="17780"/>
            <wp:docPr id="4" name="图片 4" descr="}07D44V0B33IOGF9@Y@35T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}07D44V0B33IOGF9@Y@35TN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0180" cy="4916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Arial" w:hAnsi="Arial" w:cs="Arial" w:eastAsiaTheme="minorEastAsia"/>
          <w:b w:val="0"/>
          <w:bCs w:val="0"/>
          <w:sz w:val="26"/>
          <w:szCs w:val="26"/>
          <w:lang w:eastAsia="zh-CN"/>
        </w:rPr>
      </w:pPr>
      <w:r>
        <w:rPr>
          <w:rFonts w:hint="eastAsia" w:ascii="Arial" w:hAnsi="Arial" w:cs="Arial" w:eastAsiaTheme="minorEastAsia"/>
          <w:b w:val="0"/>
          <w:bCs w:val="0"/>
          <w:sz w:val="26"/>
          <w:szCs w:val="26"/>
          <w:lang w:eastAsia="zh-CN"/>
        </w:rPr>
        <w:drawing>
          <wp:inline distT="0" distB="0" distL="114300" distR="114300">
            <wp:extent cx="5272405" cy="4130675"/>
            <wp:effectExtent l="0" t="0" r="4445" b="3175"/>
            <wp:docPr id="5" name="图片 5" descr="S36{Y`@NP6A8%G(~NY[W1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S36{Y`@NP6A8%G(~NY[W1V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4130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1, fine spray particles, heavy fog volume, not wet desktop.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2. Low driving voltage, low power, low impedance, stable waveform and high conversion efficiency;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3. Atomizing spray, 5um superfine spray aperture and 740 super dense spray hole.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4. The protective coating process of anti silver oxide layer on the surface of atomization sheet has long service life.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</w:p>
    <w:p>
      <w:pPr>
        <w:rPr>
          <w:rFonts w:hint="default" w:ascii="Arial" w:hAnsi="Arial" w:cs="Arial"/>
          <w:b w:val="0"/>
          <w:bCs w:val="0"/>
          <w:color w:val="0000FF"/>
          <w:sz w:val="26"/>
          <w:szCs w:val="26"/>
        </w:rPr>
      </w:pPr>
      <w:r>
        <w:rPr>
          <w:rFonts w:hint="default" w:ascii="Arial" w:hAnsi="Arial" w:cs="Arial"/>
          <w:b w:val="0"/>
          <w:bCs w:val="0"/>
          <w:color w:val="0000FF"/>
          <w:sz w:val="26"/>
          <w:szCs w:val="26"/>
        </w:rPr>
        <w:t>Circuit board parameters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Circuit board product voltage DV 5V, current 300mA, power 2W, frequency 108khz, fixed frequency single chip microcomputer.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Drive plate size: length 35 × Width 20 × 17mm high.</w:t>
      </w:r>
    </w:p>
    <w:p>
      <w:pPr>
        <w:rPr>
          <w:rFonts w:hint="default" w:ascii="Arial" w:hAnsi="Arial" w:cs="Arial"/>
          <w:b w:val="0"/>
          <w:bCs w:val="0"/>
          <w:sz w:val="26"/>
          <w:szCs w:val="26"/>
        </w:rPr>
      </w:pPr>
      <w:r>
        <w:rPr>
          <w:rFonts w:hint="default" w:ascii="Arial" w:hAnsi="Arial" w:cs="Arial"/>
          <w:b w:val="0"/>
          <w:bCs w:val="0"/>
          <w:sz w:val="26"/>
          <w:szCs w:val="26"/>
        </w:rPr>
        <w:t>The chip has the function of automatic timing shutdown. 5V USB power supply mode, which can be powered by Android mobile phone charging cable.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DC74A0"/>
    <w:rsid w:val="463C2418"/>
    <w:rsid w:val="5ABD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sunflower</cp:lastModifiedBy>
  <dcterms:modified xsi:type="dcterms:W3CDTF">2021-11-02T09:05:35Z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2BA2428ECB3D432BB0DF653C88DB0B51</vt:lpwstr>
  </property>
</Properties>
</file>